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Samodzielny Publiczny </w:t>
        <w:tab/>
        <w:tab/>
        <w:tab/>
        <w:tab/>
        <w:t xml:space="preserve">                        Proszowice, dnia 2</w:t>
      </w:r>
      <w:r>
        <w:rPr>
          <w:b w:val="false"/>
          <w:bCs w:val="false"/>
          <w:sz w:val="22"/>
          <w:szCs w:val="22"/>
        </w:rPr>
        <w:t>3</w:t>
      </w:r>
      <w:r>
        <w:rPr>
          <w:b w:val="false"/>
          <w:bCs w:val="false"/>
          <w:sz w:val="22"/>
          <w:szCs w:val="22"/>
        </w:rPr>
        <w:t>.11.2017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Zespół Opieki Zdrowotnej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ul. Kopernika 13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SPROSTOWANIE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odpowiedzi </w:t>
      </w:r>
      <w:r>
        <w:rPr>
          <w:b/>
          <w:bCs/>
          <w:sz w:val="22"/>
          <w:szCs w:val="22"/>
        </w:rPr>
        <w:t xml:space="preserve">na pytania </w:t>
      </w:r>
      <w:r>
        <w:rPr>
          <w:b/>
          <w:bCs/>
          <w:sz w:val="22"/>
          <w:szCs w:val="22"/>
        </w:rPr>
        <w:t>z dnia 22.11. 2017 r.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Uczestnicy postępowania prowadzonego w trybie przetargu nieograniczonego na</w:t>
      </w:r>
      <w:r>
        <w:rPr>
          <w:rFonts w:eastAsia="Calibri" w:cs="Calibri"/>
          <w:b/>
          <w:bCs/>
          <w:sz w:val="22"/>
          <w:szCs w:val="22"/>
          <w:u w:val="none"/>
          <w:lang w:val="pl-PL"/>
        </w:rPr>
        <w:t xml:space="preserve"> </w:t>
      </w:r>
      <w:r>
        <w:rPr>
          <w:rStyle w:val="Mocnowyrniony"/>
          <w:rFonts w:eastAsia="Calibri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pl-PL"/>
        </w:rPr>
        <w:t xml:space="preserve">dostawę do </w:t>
      </w:r>
      <w:r>
        <w:rPr>
          <w:rStyle w:val="Mocnowyrniony"/>
          <w:rFonts w:eastAsia="Calibri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pl-PL"/>
        </w:rPr>
        <w:t xml:space="preserve">magazynu </w:t>
      </w:r>
      <w:r>
        <w:rPr>
          <w:rStyle w:val="Mocnowyrniony"/>
          <w:rFonts w:eastAsia="Calibri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pl-PL"/>
        </w:rPr>
        <w:t>Apteki szpitalnej materiałów szewnych.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Oznaczenie sprawy: 28/ZP/2017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2"/>
          <w:szCs w:val="22"/>
          <w:highlight w:val="white"/>
        </w:rPr>
        <w:t>Dotyczy pytań o niżej wymienionej numeracji z części I pod nazwą Pytania.</w:t>
      </w:r>
    </w:p>
    <w:p>
      <w:pPr>
        <w:pStyle w:val="Normal"/>
        <w:jc w:val="both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Pytanie 2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l-PL" w:bidi="ar-SA"/>
        </w:rPr>
        <w:t>Pakiet 1 – SZWY WCHŁANIALNE</w:t>
      </w:r>
    </w:p>
    <w:p>
      <w:pPr>
        <w:pStyle w:val="Normal"/>
        <w:jc w:val="both"/>
        <w:rPr/>
      </w:pPr>
      <w:r>
        <w:rPr>
          <w:rFonts w:eastAsia="Times New Roman" w:cs="Arial"/>
          <w:b w:val="false"/>
          <w:bCs w:val="false"/>
          <w:color w:val="000000"/>
          <w:sz w:val="24"/>
          <w:szCs w:val="24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color w:val="000000"/>
          <w:sz w:val="24"/>
          <w:szCs w:val="24"/>
          <w:lang w:eastAsia="pl-PL" w:bidi="ar-SA"/>
        </w:rPr>
        <w:t>Zwracamy się z uprzejmą prośbą o dopuszczenie szwu wchłanialnego, syntetycznego (wykonane z syntetycznego poliestru złożonego z glikolidu i laktydu - pochodnej kwasu glikolowego i mlekowego), plecionego, powlekanego mieszanką kopolimeru kaprolaktonu/glikolidu i laktydu stearylowo-wapniowego, okres podtrzymania tkankowego 21-28 dni (minimalna wytrzymałośc na rozciąganie 140% usp/ep w dniu wszepienia, 80% usp/ep po dwóch tygodniach w węźle, 30% usp/ep w węźle po trzech tygodniach od dnia wszczepienia), całkowite wchłonięcie masy szwu 56-70 dni”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/>
        </w:rPr>
        <w:t>Zamawiający dopuszcza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/>
        </w:rPr>
        <w:t>.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u w:val="single"/>
          <w:lang w:eastAsia="pl-PL"/>
        </w:rPr>
        <w:t>Pytanie 3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Pakiet 1, Poz. 1 i 2</w:t>
      </w:r>
    </w:p>
    <w:p>
      <w:pPr>
        <w:pStyle w:val="Normal"/>
        <w:jc w:val="both"/>
        <w:rPr/>
      </w:pPr>
      <w:r>
        <w:rPr>
          <w:sz w:val="24"/>
          <w:szCs w:val="24"/>
        </w:rPr>
        <w:t>„</w:t>
      </w:r>
      <w:r>
        <w:rPr>
          <w:sz w:val="24"/>
          <w:szCs w:val="24"/>
        </w:rPr>
        <w:t>Prosimy o dopuszczenie podwiązki w rozmiarze 3x75cm, zamiast 2x70 cm, pozostałe parametry zgodne z SIWZ.”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/>
        </w:rPr>
        <w:t>Zamawiający dopuszcza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4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false"/>
        <w:bidi w:val="0"/>
        <w:spacing w:lineRule="atLeast" w:line="24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highlight w:val="white"/>
          <w:u w:val="none"/>
          <w:lang w:eastAsia="pl-PL" w:bidi="ar-SA"/>
        </w:rPr>
        <w:t>Pakiet 1, Poz.13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fals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Times New Roman"/>
          <w:i w:val="false"/>
          <w:iCs w:val="false"/>
          <w:color w:val="000000"/>
          <w:sz w:val="24"/>
          <w:szCs w:val="24"/>
          <w:highlight w:val="white"/>
          <w:u w:val="none"/>
          <w:lang w:eastAsia="pl-PL" w:bidi="ar-SA"/>
        </w:rPr>
        <w:t>„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highlight w:val="white"/>
          <w:u w:val="none"/>
          <w:lang w:eastAsia="pl-PL" w:bidi="ar-SA"/>
        </w:rPr>
        <w:t>Prosimy o dopuszczenie długości nici 75 cm zamiast 90 cm, pozostałe parametry zgodne              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 xml:space="preserve">Zamawiający dopuszcza, pod warunkiem odpowiedniego przeliczenia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liczbę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 xml:space="preserve"> saszetek.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 xml:space="preserve">W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 xml:space="preserve">SIWZ Zamawiający wymaga 360 saszetek x 90cm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(długość nici)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 xml:space="preserve"> = 32 400 cm,            należy zaoferować odpowiednią liczbę saszetek.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  <w:lang w:bidi="ar-SA"/>
        </w:rPr>
        <w:t>Pytanie 5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Pakiet 1, Poz.16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„</w:t>
      </w:r>
      <w:r>
        <w:rPr>
          <w:b w:val="false"/>
          <w:bCs w:val="false"/>
          <w:sz w:val="24"/>
          <w:szCs w:val="24"/>
        </w:rPr>
        <w:t>Prosimy o dopuszczenie igły okrągłej długości 37 mm zamiast 35-36 mm, pozostałe parametry zgodne z SIWZ.”</w:t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  <w:lang w:bidi="ar-SA"/>
        </w:rPr>
        <w:t>Pytanie 6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Pakiet 1, Poz.19</w:t>
      </w:r>
    </w:p>
    <w:p>
      <w:pPr>
        <w:pStyle w:val="Normal"/>
        <w:jc w:val="both"/>
        <w:rPr/>
      </w:pPr>
      <w:r>
        <w:rPr/>
        <w:t>„</w:t>
      </w:r>
      <w:r>
        <w:rPr/>
        <w:t>Prosimy o dopuszczenie igły okrągłej o długości 65 mm zamiast długości 70 mm, pozostałe parametry zgodne z SIWZ.”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sz w:val="20"/>
          <w:szCs w:val="20"/>
          <w:highlight w:val="yellow"/>
          <w:lang w:bidi="ar-SA"/>
        </w:rPr>
      </w:pPr>
      <w:r>
        <w:rPr>
          <w:rFonts w:eastAsia="Times New Roman" w:cs="Arial" w:ascii="Arial" w:hAnsi="Arial"/>
          <w:sz w:val="20"/>
          <w:szCs w:val="20"/>
          <w:highlight w:val="yellow"/>
          <w:lang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sz w:val="20"/>
          <w:szCs w:val="20"/>
          <w:highlight w:val="yellow"/>
          <w:lang w:bidi="ar-SA"/>
        </w:rPr>
      </w:pPr>
      <w:r>
        <w:rPr>
          <w:rFonts w:eastAsia="Times New Roman" w:cs="Arial" w:ascii="Arial" w:hAnsi="Arial"/>
          <w:sz w:val="20"/>
          <w:szCs w:val="20"/>
          <w:highlight w:val="yellow"/>
          <w:lang w:bidi="ar-SA"/>
        </w:rPr>
      </w:r>
    </w:p>
    <w:p>
      <w:pPr>
        <w:pStyle w:val="Normal"/>
        <w:jc w:val="both"/>
        <w:rPr/>
      </w:pPr>
      <w:r>
        <w:rPr>
          <w:rFonts w:eastAsia="Times New Roman" w:cs="Arial"/>
          <w:b/>
          <w:bCs/>
          <w:u w:val="single"/>
          <w:lang w:bidi="ar-SA"/>
        </w:rPr>
        <w:t>Pytanie 7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Arial"/>
          <w:b/>
          <w:bCs/>
          <w:lang w:bidi="ar-SA"/>
        </w:rPr>
        <w:t>Pakiet 1, Poz.19</w:t>
      </w:r>
    </w:p>
    <w:p>
      <w:pPr>
        <w:pStyle w:val="Normal"/>
        <w:jc w:val="both"/>
        <w:rPr/>
      </w:pPr>
      <w:r>
        <w:rPr>
          <w:rFonts w:eastAsia="Times New Roman" w:cs="Arial"/>
          <w:lang w:bidi="ar-SA"/>
        </w:rPr>
        <w:t>„</w:t>
      </w:r>
      <w:r>
        <w:rPr>
          <w:rFonts w:eastAsia="Times New Roman" w:cs="Arial"/>
          <w:lang w:bidi="ar-SA"/>
        </w:rPr>
        <w:t>Prosimy o dopuszczenie igły okrągłej o długości 76 mm zamiast długości 70 mm, pozostałe parametry zgodne z SIWZ.”</w:t>
      </w:r>
    </w:p>
    <w:p>
      <w:pPr>
        <w:pStyle w:val="Normal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9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1, Poz.20 i 21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fals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Prosimy o dopuszczenie igły okrągłej, zamiast okrągłej, czarnej, pozostałe parametry zgodne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11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1, Poz.25, 26, 27, 28, 29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fals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Zwracamy się z prośbą do Zamawijącego o dopuszczenie szwu wchłanialnego,                             syntetycznego, jednowłóknowe wykonane z kopolimeru kwasu glikolowego i węglanu                 trójmetylenu, okres podtrzymania tkankowego 60 dni (wytrzymałość 75% po dwóch tygodniach, 65% po trzech i 50% po czterech tygodniach od wszczepienia) całkowite wchłonięcie masy szwu w okresie 6 miesięcy.”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fals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Zwracamy się do Zamawiającego z prośbą o dopuszczenie we pozycjach 25,26,27,28,29 nici o długości 75 cm zamiast 70 cm.”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bookmarkStart w:id="0" w:name="__DdeLink__35654_405697032"/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</w:t>
      </w:r>
      <w:bookmarkEnd w:id="0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12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1, Poz.25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fals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Prosimy o dopuszczenie igły okrągłej o długości 27 mm zamiast 26 mm, pozostałe parametry zgodne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pPr>
      <w:r>
        <w:rPr/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13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1, Poz.27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fals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Prosimy o dopuszczenie igły okrągłej o długości 20 mm zamiast 22 mm, pozostałe parametry zgodne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eastAsia="Times New Roman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single"/>
          <w:lang w:eastAsia="pl-PL" w:bidi="ar-SA"/>
        </w:rPr>
      </w:pPr>
      <w:r>
        <w:rPr>
          <w:rFonts w:eastAsia="Times New Roman" w:cs="Arial"/>
          <w:color w:val="000000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highlight w:val="white"/>
        </w:rPr>
        <w:t xml:space="preserve">Powyższe </w:t>
      </w:r>
      <w:r>
        <w:rPr>
          <w:highlight w:val="white"/>
        </w:rPr>
        <w:t>sprostowanie</w:t>
      </w:r>
      <w:r>
        <w:rPr>
          <w:highlight w:val="white"/>
        </w:rPr>
        <w:t xml:space="preserve"> Zamawiający zamieszcza na stronie internetowej w dniu</w:t>
      </w:r>
      <w:r>
        <w:rPr/>
        <w:t xml:space="preserve"> 2</w:t>
      </w:r>
      <w:r>
        <w:rPr/>
        <w:t>3</w:t>
      </w:r>
      <w:r>
        <w:rPr/>
        <w:t>.11.2017 r.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/>
    <w:rPr/>
  </w:style>
  <w:style w:type="paragraph" w:styleId="Nagwek4">
    <w:name w:val="Heading 4"/>
    <w:basedOn w:val="Nagwek"/>
    <w:qFormat/>
    <w:pPr/>
    <w:rPr/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RTFNum21">
    <w:name w:val="RTF_Num 2 1"/>
    <w:qFormat/>
    <w:rPr>
      <w:rFonts w:ascii="Symbol" w:hAnsi="Symbol"/>
    </w:rPr>
  </w:style>
  <w:style w:type="character" w:styleId="RTFNum31">
    <w:name w:val="RTF_Num 3 1"/>
    <w:qFormat/>
    <w:rPr>
      <w:rFonts w:ascii="Symbol" w:hAnsi="Symbol"/>
    </w:rPr>
  </w:style>
  <w:style w:type="character" w:styleId="RTFNum41">
    <w:name w:val="RTF_Num 4 1"/>
    <w:qFormat/>
    <w:rPr>
      <w:rFonts w:ascii="Symbol" w:hAnsi="Symbol"/>
    </w:rPr>
  </w:style>
  <w:style w:type="character" w:styleId="RTFNum51">
    <w:name w:val="RTF_Num 5 1"/>
    <w:qFormat/>
    <w:rPr>
      <w:rFonts w:ascii="Symbol" w:hAnsi="Symbol"/>
    </w:rPr>
  </w:style>
  <w:style w:type="character" w:styleId="RTFNum61">
    <w:name w:val="RTF_Num 6 1"/>
    <w:qFormat/>
    <w:rPr>
      <w:rFonts w:ascii="Symbol" w:hAnsi="Symbol"/>
    </w:rPr>
  </w:style>
  <w:style w:type="character" w:styleId="RTFNum71">
    <w:name w:val="RTF_Num 7 1"/>
    <w:qFormat/>
    <w:rPr>
      <w:rFonts w:ascii="Symbol" w:hAnsi="Symbol"/>
    </w:rPr>
  </w:style>
  <w:style w:type="character" w:styleId="RTFNum81">
    <w:name w:val="RTF_Num 8 1"/>
    <w:qFormat/>
    <w:rPr>
      <w:rFonts w:ascii="Symbol" w:hAnsi="Symbol"/>
    </w:rPr>
  </w:style>
  <w:style w:type="character" w:styleId="RTFNum91">
    <w:name w:val="RTF_Num 9 1"/>
    <w:qFormat/>
    <w:rPr>
      <w:rFonts w:ascii="Symbol" w:hAnsi="Symbol"/>
    </w:rPr>
  </w:style>
  <w:style w:type="character" w:styleId="RTFNum101">
    <w:name w:val="RTF_Num 10 1"/>
    <w:qFormat/>
    <w:rPr>
      <w:rFonts w:ascii="Symbol" w:hAnsi="Symbol"/>
    </w:rPr>
  </w:style>
  <w:style w:type="character" w:styleId="RTFNum111">
    <w:name w:val="RTF_Num 11 1"/>
    <w:qFormat/>
    <w:rPr>
      <w:rFonts w:ascii="Symbol" w:hAnsi="Symbol"/>
    </w:rPr>
  </w:style>
  <w:style w:type="character" w:styleId="RTFNum121">
    <w:name w:val="RTF_Num 12 1"/>
    <w:qFormat/>
    <w:rPr>
      <w:rFonts w:ascii="Symbol" w:hAnsi="Symbol"/>
    </w:rPr>
  </w:style>
  <w:style w:type="character" w:styleId="RTFNum131">
    <w:name w:val="RTF_Num 13 1"/>
    <w:qFormat/>
    <w:rPr>
      <w:rFonts w:ascii="Symbol" w:hAnsi="Symbol"/>
    </w:rPr>
  </w:style>
  <w:style w:type="character" w:styleId="RTFNum141">
    <w:name w:val="RTF_Num 14 1"/>
    <w:qFormat/>
    <w:rPr>
      <w:rFonts w:ascii="Symbol" w:hAnsi="Symbol"/>
    </w:rPr>
  </w:style>
  <w:style w:type="character" w:styleId="RTFNum151">
    <w:name w:val="RTF_Num 15 1"/>
    <w:qFormat/>
    <w:rPr>
      <w:rFonts w:ascii="Symbol" w:hAnsi="Symbol"/>
    </w:rPr>
  </w:style>
  <w:style w:type="character" w:styleId="RTFNum161">
    <w:name w:val="RTF_Num 16 1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2z0">
    <w:name w:val="WW8Num12z0"/>
    <w:qFormat/>
    <w:rPr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b w:val="false"/>
    </w:rPr>
  </w:style>
  <w:style w:type="character" w:styleId="RTFNum171">
    <w:name w:val="RTF_Num 17 1"/>
    <w:qFormat/>
    <w:rPr>
      <w:rFonts w:ascii="Symbol" w:hAnsi="Symbol"/>
    </w:rPr>
  </w:style>
  <w:style w:type="character" w:styleId="RTFNum181">
    <w:name w:val="RTF_Num 18 1"/>
    <w:qFormat/>
    <w:rPr>
      <w:rFonts w:ascii="Symbol" w:hAnsi="Symbol"/>
    </w:rPr>
  </w:style>
  <w:style w:type="character" w:styleId="RTFNum191">
    <w:name w:val="RTF_Num 19 1"/>
    <w:qFormat/>
    <w:rPr>
      <w:rFonts w:ascii="Symbol" w:hAnsi="Symbol"/>
    </w:rPr>
  </w:style>
  <w:style w:type="character" w:styleId="RTFNum201">
    <w:name w:val="RTF_Num 20 1"/>
    <w:qFormat/>
    <w:rPr>
      <w:rFonts w:ascii="Symbol" w:hAnsi="Symbol"/>
    </w:rPr>
  </w:style>
  <w:style w:type="character" w:styleId="RTFNum211">
    <w:name w:val="RTF_Num 21 1"/>
    <w:qFormat/>
    <w:rPr>
      <w:rFonts w:ascii="Symbol" w:hAnsi="Symbol"/>
    </w:rPr>
  </w:style>
  <w:style w:type="character" w:styleId="RTFNum221">
    <w:name w:val="RTF_Num 22 1"/>
    <w:qFormat/>
    <w:rPr>
      <w:rFonts w:ascii="Symbol" w:hAnsi="Symbol"/>
    </w:rPr>
  </w:style>
  <w:style w:type="character" w:styleId="RTFNum231">
    <w:name w:val="RTF_Num 23 1"/>
    <w:qFormat/>
    <w:rPr>
      <w:rFonts w:ascii="Symbol" w:hAnsi="Symbol"/>
    </w:rPr>
  </w:style>
  <w:style w:type="character" w:styleId="RTFNum241">
    <w:name w:val="RTF_Num 24 1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RTFNum251">
    <w:name w:val="RTF_Num 25 1"/>
    <w:qFormat/>
    <w:rPr>
      <w:rFonts w:ascii="Symbol" w:hAnsi="Symbol"/>
    </w:rPr>
  </w:style>
  <w:style w:type="character" w:styleId="RTFNum261">
    <w:name w:val="RTF_Num 26 1"/>
    <w:qFormat/>
    <w:rPr>
      <w:rFonts w:ascii="Symbol" w:hAnsi="Symbol"/>
    </w:rPr>
  </w:style>
  <w:style w:type="character" w:styleId="RTFNum271">
    <w:name w:val="RTF_Num 27 1"/>
    <w:qFormat/>
    <w:rPr>
      <w:rFonts w:ascii="Symbol" w:hAnsi="Symbol"/>
    </w:rPr>
  </w:style>
  <w:style w:type="character" w:styleId="RTFNum281">
    <w:name w:val="RTF_Num 28 1"/>
    <w:qFormat/>
    <w:rPr>
      <w:rFonts w:ascii="Symbol" w:hAnsi="Symbol"/>
    </w:rPr>
  </w:style>
  <w:style w:type="character" w:styleId="RTFNum291">
    <w:name w:val="RTF_Num 29 1"/>
    <w:qFormat/>
    <w:rPr>
      <w:rFonts w:ascii="Symbol" w:hAnsi="Symbol"/>
    </w:rPr>
  </w:style>
  <w:style w:type="character" w:styleId="RTFNum301">
    <w:name w:val="RTF_Num 30 1"/>
    <w:qFormat/>
    <w:rPr>
      <w:rFonts w:ascii="Symbol" w:hAnsi="Symbol"/>
    </w:rPr>
  </w:style>
  <w:style w:type="character" w:styleId="RTFNum311">
    <w:name w:val="RTF_Num 31 1"/>
    <w:qFormat/>
    <w:rPr>
      <w:rFonts w:ascii="Symbol" w:hAnsi="Symbol"/>
    </w:rPr>
  </w:style>
  <w:style w:type="character" w:styleId="RTFNum321">
    <w:name w:val="RTF_Num 32 1"/>
    <w:qFormat/>
    <w:rPr>
      <w:rFonts w:ascii="Symbol" w:hAnsi="Symbol"/>
    </w:rPr>
  </w:style>
  <w:style w:type="character" w:styleId="RTFNum331">
    <w:name w:val="RTF_Num 33 1"/>
    <w:qFormat/>
    <w:rPr>
      <w:rFonts w:ascii="Symbol" w:hAnsi="Symbol"/>
    </w:rPr>
  </w:style>
  <w:style w:type="character" w:styleId="RTFNum341">
    <w:name w:val="RTF_Num 34 1"/>
    <w:qFormat/>
    <w:rPr>
      <w:rFonts w:ascii="Symbol" w:hAnsi="Symbol"/>
    </w:rPr>
  </w:style>
  <w:style w:type="character" w:styleId="RTFNum351">
    <w:name w:val="RTF_Num 35 1"/>
    <w:qFormat/>
    <w:rPr>
      <w:rFonts w:ascii="Symbol" w:hAnsi="Symbol"/>
    </w:rPr>
  </w:style>
  <w:style w:type="character" w:styleId="RTFNum361">
    <w:name w:val="RTF_Num 36 1"/>
    <w:qFormat/>
    <w:rPr>
      <w:rFonts w:ascii="Symbol" w:hAnsi="Symbol"/>
    </w:rPr>
  </w:style>
  <w:style w:type="character" w:styleId="RTFNum371">
    <w:name w:val="RTF_Num 37 1"/>
    <w:qFormat/>
    <w:rPr>
      <w:rFonts w:ascii="Symbol" w:hAnsi="Symbol"/>
    </w:rPr>
  </w:style>
  <w:style w:type="character" w:styleId="RTFNum381">
    <w:name w:val="RTF_Num 38 1"/>
    <w:qFormat/>
    <w:rPr>
      <w:rFonts w:ascii="Symbol" w:hAnsi="Symbol"/>
    </w:rPr>
  </w:style>
  <w:style w:type="character" w:styleId="RTFNum391">
    <w:name w:val="RTF_Num 39 1"/>
    <w:qFormat/>
    <w:rPr>
      <w:rFonts w:ascii="Symbol" w:hAnsi="Symbol"/>
    </w:rPr>
  </w:style>
  <w:style w:type="character" w:styleId="RTFNum401">
    <w:name w:val="RTF_Num 40 1"/>
    <w:qFormat/>
    <w:rPr>
      <w:rFonts w:ascii="Symbol" w:hAnsi="Symbol"/>
    </w:rPr>
  </w:style>
  <w:style w:type="character" w:styleId="RTFNum411">
    <w:name w:val="RTF_Num 41 1"/>
    <w:qFormat/>
    <w:rPr>
      <w:rFonts w:ascii="Symbol" w:hAnsi="Symbol"/>
    </w:rPr>
  </w:style>
  <w:style w:type="character" w:styleId="RTFNum421">
    <w:name w:val="RTF_Num 42 1"/>
    <w:qFormat/>
    <w:rPr>
      <w:rFonts w:ascii="Symbol" w:hAnsi="Symbol"/>
    </w:rPr>
  </w:style>
  <w:style w:type="character" w:styleId="RTFNum431">
    <w:name w:val="RTF_Num 43 1"/>
    <w:qFormat/>
    <w:rPr>
      <w:rFonts w:ascii="Symbol" w:hAnsi="Symbol"/>
    </w:rPr>
  </w:style>
  <w:style w:type="character" w:styleId="RTFNum441">
    <w:name w:val="RTF_Num 44 1"/>
    <w:qFormat/>
    <w:rPr>
      <w:rFonts w:ascii="Symbol" w:hAnsi="Symbol"/>
    </w:rPr>
  </w:style>
  <w:style w:type="character" w:styleId="RTFNum451">
    <w:name w:val="RTF_Num 45 1"/>
    <w:qFormat/>
    <w:rPr>
      <w:rFonts w:ascii="Symbol" w:hAnsi="Symbol"/>
    </w:rPr>
  </w:style>
  <w:style w:type="character" w:styleId="RTFNum461">
    <w:name w:val="RTF_Num 46 1"/>
    <w:qFormat/>
    <w:rPr>
      <w:rFonts w:ascii="Symbol" w:hAnsi="Symbol"/>
    </w:rPr>
  </w:style>
  <w:style w:type="character" w:styleId="RTFNum471">
    <w:name w:val="RTF_Num 47 1"/>
    <w:qFormat/>
    <w:rPr>
      <w:rFonts w:ascii="Symbol" w:hAnsi="Symbol"/>
    </w:rPr>
  </w:style>
  <w:style w:type="character" w:styleId="RTFNum481">
    <w:name w:val="RTF_Num 48 1"/>
    <w:qFormat/>
    <w:rPr>
      <w:rFonts w:ascii="Symbol" w:hAnsi="Symbol"/>
    </w:rPr>
  </w:style>
  <w:style w:type="character" w:styleId="RTFNum491">
    <w:name w:val="RTF_Num 49 1"/>
    <w:qFormat/>
    <w:rPr>
      <w:rFonts w:ascii="Symbol" w:hAnsi="Symbol"/>
    </w:rPr>
  </w:style>
  <w:style w:type="character" w:styleId="RTFNum501">
    <w:name w:val="RTF_Num 50 1"/>
    <w:qFormat/>
    <w:rPr>
      <w:rFonts w:ascii="Symbol" w:hAnsi="Symbol"/>
    </w:rPr>
  </w:style>
  <w:style w:type="character" w:styleId="RTFNum511">
    <w:name w:val="RTF_Num 51 1"/>
    <w:qFormat/>
    <w:rPr>
      <w:rFonts w:ascii="Symbol" w:hAnsi="Symbol"/>
    </w:rPr>
  </w:style>
  <w:style w:type="character" w:styleId="RTFNum521">
    <w:name w:val="RTF_Num 52 1"/>
    <w:qFormat/>
    <w:rPr>
      <w:rFonts w:ascii="Symbol" w:hAnsi="Symbol"/>
    </w:rPr>
  </w:style>
  <w:style w:type="character" w:styleId="RTFNum531">
    <w:name w:val="RTF_Num 53 1"/>
    <w:qFormat/>
    <w:rPr>
      <w:rFonts w:ascii="Symbol" w:hAnsi="Symbol"/>
    </w:rPr>
  </w:style>
  <w:style w:type="character" w:styleId="RTFNum541">
    <w:name w:val="RTF_Num 54 1"/>
    <w:qFormat/>
    <w:rPr>
      <w:rFonts w:ascii="Symbol" w:hAnsi="Symbol"/>
    </w:rPr>
  </w:style>
  <w:style w:type="character" w:styleId="RTFNum551">
    <w:name w:val="RTF_Num 55 1"/>
    <w:qFormat/>
    <w:rPr>
      <w:rFonts w:ascii="Symbol" w:hAnsi="Symbol"/>
    </w:rPr>
  </w:style>
  <w:style w:type="character" w:styleId="RTFNum561">
    <w:name w:val="RTF_Num 56 1"/>
    <w:qFormat/>
    <w:rPr>
      <w:rFonts w:ascii="Symbol" w:hAnsi="Symbol"/>
    </w:rPr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WW8Num3z0">
    <w:name w:val="WW8Num3z0"/>
    <w:qFormat/>
    <w:rPr>
      <w:rFonts w:ascii="Verdana" w:hAnsi="Verdana"/>
      <w:sz w:val="20"/>
      <w:szCs w:val="20"/>
    </w:rPr>
  </w:style>
  <w:style w:type="character" w:styleId="RTFNum571">
    <w:name w:val="RTF_Num 57 1"/>
    <w:qFormat/>
    <w:rPr>
      <w:rFonts w:ascii="Symbol" w:hAnsi="Symbol"/>
    </w:rPr>
  </w:style>
  <w:style w:type="character" w:styleId="RTFNum581">
    <w:name w:val="RTF_Num 58 1"/>
    <w:qFormat/>
    <w:rPr>
      <w:rFonts w:ascii="Symbol" w:hAnsi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S13">
    <w:name w:val="s13"/>
    <w:basedOn w:val="DefaultParagraphFont"/>
    <w:qFormat/>
    <w:rPr/>
  </w:style>
  <w:style w:type="character" w:styleId="WW8Num5z0">
    <w:name w:val="WW8Num5z0"/>
    <w:qFormat/>
    <w:rPr>
      <w:b/>
      <w:sz w:val="22"/>
      <w:szCs w:val="22"/>
      <w:lang w:val="pl-PL"/>
    </w:rPr>
  </w:style>
  <w:style w:type="character" w:styleId="WW8Num5z1">
    <w:name w:val="WW8Num5z1"/>
    <w:qFormat/>
    <w:rPr>
      <w:rFonts w:ascii="Symbol" w:hAnsi="Symbol" w:eastAsia="Times New Roman" w:cs="Times New Roman"/>
      <w:b/>
      <w:color w:val="000000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1">
    <w:name w:val="ListLabel 1"/>
    <w:qFormat/>
    <w:rPr>
      <w:b/>
      <w:sz w:val="22"/>
      <w:szCs w:val="22"/>
      <w:lang w:val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wykytekst">
    <w:name w:val="Zwykły tekst"/>
    <w:basedOn w:val="Normal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SimSun"/>
      <w:sz w:val="22"/>
      <w:szCs w:val="22"/>
      <w:lang w:val="en-US" w:eastAsia="zh-CN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0"/>
      <w:ind w:left="922" w:right="0" w:hanging="922"/>
    </w:pPr>
    <w:rPr>
      <w:rFonts w:ascii="Arial" w:hAnsi="Arial" w:cs="Arial"/>
      <w:i/>
      <w:iCs/>
      <w:color w:val="0000FF"/>
      <w:sz w:val="16"/>
      <w:szCs w:val="16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Arial" w:hAnsi="Arial" w:eastAsia="SimSun" w:cs="Arial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overflowPunct w:val="true"/>
      <w:spacing w:lineRule="auto" w:line="360" w:before="0" w:after="0"/>
      <w:ind w:left="0" w:right="0" w:firstLine="360"/>
      <w:jc w:val="both"/>
      <w:textAlignment w:val="baseline"/>
    </w:pPr>
    <w:rPr>
      <w:szCs w:val="20"/>
    </w:rPr>
  </w:style>
  <w:style w:type="paragraph" w:styleId="Bezodstpw">
    <w:name w:val="Bez odstępów"/>
    <w:qFormat/>
    <w:pPr>
      <w:widowControl/>
      <w:overflowPunct w:val="false"/>
      <w:bidi w:val="0"/>
      <w:jc w:val="left"/>
    </w:pPr>
    <w:rPr>
      <w:rFonts w:ascii="Calibri" w:hAnsi="Calibri" w:eastAsia="Arial" w:cs="Times New Roman"/>
      <w:color w:val="00000A"/>
      <w:sz w:val="22"/>
      <w:szCs w:val="22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jc w:val="center"/>
    </w:pPr>
    <w:rPr>
      <w:sz w:val="28"/>
      <w:lang w:val="zxx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xtbodyindent">
    <w:name w:val="Text body indent"/>
    <w:basedOn w:val="Normal"/>
    <w:qFormat/>
    <w:pPr>
      <w:widowControl w:val="false"/>
      <w:suppressAutoHyphens w:val="true"/>
      <w:spacing w:before="0" w:after="120"/>
      <w:ind w:left="283" w:right="0" w:hanging="0"/>
      <w:textAlignment w:val="baseline"/>
    </w:pPr>
    <w:rPr>
      <w:rFonts w:eastAsia="SimSun;宋体" w:cs="Mangal"/>
      <w:lang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14">
    <w:name w:val="s14"/>
    <w:basedOn w:val="Normal"/>
    <w:qFormat/>
    <w:pPr>
      <w:overflowPunct w:val="true"/>
      <w:spacing w:beforeAutospacing="1" w:afterAutospacing="1"/>
      <w:textAlignment w:val="auto"/>
    </w:pPr>
    <w:rPr>
      <w:rFonts w:eastAsia="" w:eastAsiaTheme="minorHAnsi"/>
      <w:sz w:val="24"/>
      <w:szCs w:val="24"/>
      <w:lang w:eastAsia="pl-PL"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RTFNum28">
    <w:name w:val="RTF_Num 28"/>
    <w:qFormat/>
  </w:style>
  <w:style w:type="numbering" w:styleId="RTFNum29">
    <w:name w:val="RTF_Num 29"/>
    <w:qFormat/>
  </w:style>
  <w:style w:type="numbering" w:styleId="RTFNum30">
    <w:name w:val="RTF_Num 30"/>
    <w:qFormat/>
  </w:style>
  <w:style w:type="numbering" w:styleId="RTFNum312">
    <w:name w:val="RTF_Num 31"/>
    <w:qFormat/>
  </w:style>
  <w:style w:type="numbering" w:styleId="RTFNum32">
    <w:name w:val="RTF_Num 32"/>
    <w:qFormat/>
  </w:style>
  <w:style w:type="numbering" w:styleId="RTFNum33">
    <w:name w:val="RTF_Num 33"/>
    <w:qFormat/>
  </w:style>
  <w:style w:type="numbering" w:styleId="RTFNum34">
    <w:name w:val="RTF_Num 34"/>
    <w:qFormat/>
  </w:style>
  <w:style w:type="numbering" w:styleId="RTFNum35">
    <w:name w:val="RTF_Num 35"/>
    <w:qFormat/>
  </w:style>
  <w:style w:type="numbering" w:styleId="RTFNum36">
    <w:name w:val="RTF_Num 36"/>
    <w:qFormat/>
  </w:style>
  <w:style w:type="numbering" w:styleId="RTFNum37">
    <w:name w:val="RTF_Num 37"/>
    <w:qFormat/>
  </w:style>
  <w:style w:type="numbering" w:styleId="RTFNum38">
    <w:name w:val="RTF_Num 38"/>
    <w:qFormat/>
  </w:style>
  <w:style w:type="numbering" w:styleId="RTFNum39">
    <w:name w:val="RTF_Num 39"/>
    <w:qFormat/>
  </w:style>
  <w:style w:type="numbering" w:styleId="RTFNum40">
    <w:name w:val="RTF_Num 40"/>
    <w:qFormat/>
  </w:style>
  <w:style w:type="numbering" w:styleId="RTFNum412">
    <w:name w:val="RTF_Num 41"/>
    <w:qFormat/>
  </w:style>
  <w:style w:type="numbering" w:styleId="RTFNum42">
    <w:name w:val="RTF_Num 42"/>
    <w:qFormat/>
  </w:style>
  <w:style w:type="numbering" w:styleId="RTFNum43">
    <w:name w:val="RTF_Num 43"/>
    <w:qFormat/>
  </w:style>
  <w:style w:type="numbering" w:styleId="RTFNum44">
    <w:name w:val="RTF_Num 44"/>
    <w:qFormat/>
  </w:style>
  <w:style w:type="numbering" w:styleId="RTFNum45">
    <w:name w:val="RTF_Num 45"/>
    <w:qFormat/>
  </w:style>
  <w:style w:type="numbering" w:styleId="RTFNum46">
    <w:name w:val="RTF_Num 46"/>
    <w:qFormat/>
  </w:style>
  <w:style w:type="numbering" w:styleId="RTFNum47">
    <w:name w:val="RTF_Num 47"/>
    <w:qFormat/>
  </w:style>
  <w:style w:type="numbering" w:styleId="RTFNum48">
    <w:name w:val="RTF_Num 48"/>
    <w:qFormat/>
  </w:style>
  <w:style w:type="numbering" w:styleId="RTFNum49">
    <w:name w:val="RTF_Num 49"/>
    <w:qFormat/>
  </w:style>
  <w:style w:type="numbering" w:styleId="RTFNum50">
    <w:name w:val="RTF_Num 50"/>
    <w:qFormat/>
  </w:style>
  <w:style w:type="numbering" w:styleId="RTFNum512">
    <w:name w:val="RTF_Num 51"/>
    <w:qFormat/>
  </w:style>
  <w:style w:type="numbering" w:styleId="RTFNum52">
    <w:name w:val="RTF_Num 52"/>
    <w:qFormat/>
  </w:style>
  <w:style w:type="numbering" w:styleId="RTFNum53">
    <w:name w:val="RTF_Num 53"/>
    <w:qFormat/>
  </w:style>
  <w:style w:type="numbering" w:styleId="RTFNum54">
    <w:name w:val="RTF_Num 54"/>
    <w:qFormat/>
  </w:style>
  <w:style w:type="numbering" w:styleId="RTFNum55">
    <w:name w:val="RTF_Num 55"/>
    <w:qFormat/>
  </w:style>
  <w:style w:type="numbering" w:styleId="RTFNum56">
    <w:name w:val="RTF_Num 56"/>
    <w:qFormat/>
  </w:style>
  <w:style w:type="numbering" w:styleId="WW8Num3">
    <w:name w:val="WW8Num3"/>
    <w:qFormat/>
  </w:style>
  <w:style w:type="numbering" w:styleId="RTFNum57">
    <w:name w:val="RTF_Num 57"/>
    <w:qFormat/>
  </w:style>
  <w:style w:type="numbering" w:styleId="RTFNum58">
    <w:name w:val="RTF_Num 58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5889</TotalTime>
  <Application>LibreOffice/5.2.1.2$Windows_x86 LibreOffice_project/31dd62db80d4e60af04904455ec9c9219178d620</Application>
  <Pages>3</Pages>
  <Words>449</Words>
  <Characters>2796</Characters>
  <CharactersWithSpaces>3279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2013-10-10T12:07:13Z</dcterms:created>
  <dc:creator/>
  <dc:description/>
  <dc:language>pl-PL</dc:language>
  <cp:lastModifiedBy/>
  <cp:lastPrinted>2017-11-22T13:34:32Z</cp:lastPrinted>
  <dcterms:modified xsi:type="dcterms:W3CDTF">2017-11-23T12:31:58Z</dcterms:modified>
  <cp:revision>492</cp:revision>
  <dc:subject/>
  <dc:title/>
</cp:coreProperties>
</file>